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>Индекс 368950  РД, пос. Шамилькала,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r w:rsidRPr="00C92D79">
        <w:rPr>
          <w:bCs/>
          <w:sz w:val="20"/>
          <w:szCs w:val="20"/>
          <w:lang w:val="en-US"/>
        </w:rPr>
        <w:t>mo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uncuk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raion</w:t>
      </w:r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r w:rsidRPr="00C92D79">
        <w:rPr>
          <w:bCs/>
          <w:sz w:val="20"/>
          <w:szCs w:val="20"/>
          <w:lang w:val="en-US"/>
        </w:rPr>
        <w:t>ru</w:t>
      </w:r>
    </w:p>
    <w:p w:rsidR="00136703" w:rsidRPr="00C92D79" w:rsidRDefault="006650A1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1319B0">
        <w:rPr>
          <w:rStyle w:val="15pt"/>
          <w:b/>
          <w:sz w:val="27"/>
          <w:szCs w:val="27"/>
        </w:rPr>
        <w:t>ПОСТАНОВЛЕНИЕ</w:t>
      </w:r>
      <w:bookmarkEnd w:id="0"/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136703" w:rsidRPr="001319B0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>от  «</w:t>
      </w:r>
      <w:r w:rsidR="0097604B">
        <w:rPr>
          <w:rStyle w:val="15pt"/>
          <w:rFonts w:eastAsia="Microsoft Sans Serif"/>
          <w:b/>
          <w:spacing w:val="0"/>
          <w:sz w:val="27"/>
          <w:szCs w:val="27"/>
        </w:rPr>
        <w:t>25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» </w:t>
      </w:r>
      <w:r w:rsidR="0097604B">
        <w:rPr>
          <w:rStyle w:val="15pt"/>
          <w:rFonts w:eastAsia="Microsoft Sans Serif"/>
          <w:b/>
          <w:spacing w:val="0"/>
          <w:sz w:val="27"/>
          <w:szCs w:val="27"/>
        </w:rPr>
        <w:t>января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 20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>2</w:t>
      </w:r>
      <w:r w:rsidR="00877CBB">
        <w:rPr>
          <w:rStyle w:val="15pt"/>
          <w:rFonts w:eastAsia="Microsoft Sans Serif"/>
          <w:b/>
          <w:spacing w:val="0"/>
          <w:sz w:val="27"/>
          <w:szCs w:val="27"/>
        </w:rPr>
        <w:t>1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 xml:space="preserve"> 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г. № </w:t>
      </w:r>
      <w:r w:rsidR="0097604B">
        <w:rPr>
          <w:rStyle w:val="15pt"/>
          <w:rFonts w:eastAsia="Microsoft Sans Serif"/>
          <w:b/>
          <w:spacing w:val="0"/>
          <w:sz w:val="27"/>
          <w:szCs w:val="27"/>
        </w:rPr>
        <w:t>06</w:t>
      </w:r>
      <w:bookmarkStart w:id="1" w:name="_GoBack"/>
      <w:bookmarkEnd w:id="1"/>
    </w:p>
    <w:p w:rsidR="007B35CE" w:rsidRPr="001319B0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</w:p>
    <w:p w:rsidR="00877CBB" w:rsidRPr="00877CBB" w:rsidRDefault="00877CBB" w:rsidP="00877CBB">
      <w:pPr>
        <w:jc w:val="center"/>
        <w:rPr>
          <w:b/>
          <w:szCs w:val="28"/>
        </w:rPr>
      </w:pPr>
      <w:r w:rsidRPr="00877CBB">
        <w:rPr>
          <w:b/>
          <w:szCs w:val="28"/>
        </w:rPr>
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(общеразвивающих) программ на 2021год.</w:t>
      </w:r>
    </w:p>
    <w:p w:rsidR="00877CBB" w:rsidRPr="00877CBB" w:rsidRDefault="00877CBB" w:rsidP="00877CBB">
      <w:pPr>
        <w:jc w:val="center"/>
        <w:rPr>
          <w:b/>
          <w:szCs w:val="28"/>
        </w:rPr>
      </w:pPr>
    </w:p>
    <w:p w:rsidR="00877CBB" w:rsidRPr="00877CBB" w:rsidRDefault="00877CBB" w:rsidP="00877CBB">
      <w:pPr>
        <w:ind w:firstLine="709"/>
        <w:jc w:val="both"/>
        <w:rPr>
          <w:szCs w:val="28"/>
        </w:rPr>
      </w:pPr>
      <w:r w:rsidRPr="00877CBB">
        <w:rPr>
          <w:szCs w:val="28"/>
        </w:rPr>
        <w:t>На основании</w:t>
      </w:r>
      <w:r w:rsidRPr="00877CBB">
        <w:rPr>
          <w:color w:val="000000"/>
          <w:szCs w:val="28"/>
          <w:lang w:eastAsia="ru-RU"/>
        </w:rPr>
        <w:t xml:space="preserve"> Распоряжения Правительства Республики Дагестан от 29</w:t>
      </w:r>
      <w:r>
        <w:rPr>
          <w:color w:val="000000"/>
          <w:szCs w:val="28"/>
          <w:lang w:eastAsia="ru-RU"/>
        </w:rPr>
        <w:t xml:space="preserve"> июля </w:t>
      </w:r>
      <w:r w:rsidRPr="00877CBB">
        <w:rPr>
          <w:color w:val="000000"/>
          <w:szCs w:val="28"/>
          <w:lang w:eastAsia="ru-RU"/>
        </w:rPr>
        <w:t>2019 г. № 209-р, Приказа Министерства образования и науки Республики Дагестан «Об утверждении правил персонифицированного финансирования дополнительного образования детей в Республики Дагестан»</w:t>
      </w:r>
      <w:r w:rsidRPr="00877CBB">
        <w:rPr>
          <w:szCs w:val="28"/>
        </w:rPr>
        <w:t xml:space="preserve">, постановления администрации </w:t>
      </w:r>
      <w:bookmarkStart w:id="2" w:name="_Hlk21697407"/>
      <w:r w:rsidRPr="00877CBB">
        <w:rPr>
          <w:szCs w:val="28"/>
        </w:rPr>
        <w:t xml:space="preserve">муниципального образования «Унцукульский район» </w:t>
      </w:r>
      <w:r w:rsidRPr="00877CBB">
        <w:rPr>
          <w:color w:val="000000"/>
          <w:szCs w:val="28"/>
          <w:lang w:eastAsia="ru-RU"/>
        </w:rPr>
        <w:t xml:space="preserve">Республики Дагестан </w:t>
      </w:r>
      <w:r w:rsidRPr="00877CBB">
        <w:rPr>
          <w:szCs w:val="28"/>
        </w:rPr>
        <w:t>от</w:t>
      </w:r>
      <w:r>
        <w:rPr>
          <w:szCs w:val="28"/>
        </w:rPr>
        <w:t xml:space="preserve"> 8 сентября</w:t>
      </w:r>
      <w:r w:rsidRPr="00877CBB">
        <w:rPr>
          <w:szCs w:val="28"/>
        </w:rPr>
        <w:t xml:space="preserve"> 2020 г. №</w:t>
      </w:r>
      <w:r>
        <w:rPr>
          <w:szCs w:val="28"/>
        </w:rPr>
        <w:t xml:space="preserve"> </w:t>
      </w:r>
      <w:r w:rsidRPr="00877CBB">
        <w:rPr>
          <w:szCs w:val="28"/>
        </w:rPr>
        <w:t>142</w:t>
      </w:r>
      <w:r>
        <w:rPr>
          <w:szCs w:val="28"/>
        </w:rPr>
        <w:t xml:space="preserve"> </w:t>
      </w:r>
      <w:r w:rsidRPr="00877CBB">
        <w:rPr>
          <w:szCs w:val="28"/>
        </w:rPr>
        <w:t xml:space="preserve">«Об утверждении Правил персонифицированного финансирования  дополнительного образования детей в муниципальном образовании «Унцукульский район» </w:t>
      </w:r>
      <w:r w:rsidRPr="00877CBB">
        <w:rPr>
          <w:color w:val="000000"/>
          <w:szCs w:val="28"/>
          <w:lang w:eastAsia="ru-RU"/>
        </w:rPr>
        <w:t>Республики Дагестан</w:t>
      </w:r>
      <w:r w:rsidRPr="00877CBB">
        <w:rPr>
          <w:szCs w:val="28"/>
        </w:rPr>
        <w:t>»</w:t>
      </w:r>
      <w:bookmarkEnd w:id="2"/>
      <w:r w:rsidRPr="00877CBB">
        <w:rPr>
          <w:szCs w:val="28"/>
        </w:rPr>
        <w:t>,    постановляю:</w:t>
      </w:r>
    </w:p>
    <w:p w:rsidR="00877CBB" w:rsidRPr="00877CBB" w:rsidRDefault="00877CBB" w:rsidP="00877CB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877CBB">
        <w:rPr>
          <w:szCs w:val="28"/>
        </w:rPr>
        <w:t>Утвердить 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2021 год (приложение 1).</w:t>
      </w:r>
    </w:p>
    <w:p w:rsidR="00877CBB" w:rsidRPr="00877CBB" w:rsidRDefault="00877CBB" w:rsidP="00877CBB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877CBB">
        <w:rPr>
          <w:szCs w:val="28"/>
        </w:rPr>
        <w:t xml:space="preserve">Утвердить отраслевые коэффициенты, применяемые в рамках системы персонифицированного финансирования дополнительного образования детей на 2021 год (приложение 2). </w:t>
      </w:r>
    </w:p>
    <w:p w:rsidR="00877CBB" w:rsidRPr="00877CBB" w:rsidRDefault="00877CBB" w:rsidP="00877CBB">
      <w:pPr>
        <w:ind w:firstLine="709"/>
        <w:jc w:val="both"/>
        <w:rPr>
          <w:szCs w:val="28"/>
        </w:rPr>
      </w:pPr>
      <w:r w:rsidRPr="00877CBB">
        <w:rPr>
          <w:szCs w:val="28"/>
        </w:rPr>
        <w:t>3</w:t>
      </w:r>
      <w:r>
        <w:rPr>
          <w:szCs w:val="28"/>
        </w:rPr>
        <w:t>.</w:t>
      </w:r>
      <w:r w:rsidRPr="00877CBB">
        <w:rPr>
          <w:szCs w:val="28"/>
        </w:rPr>
        <w:t xml:space="preserve">Контроль за исполнением настоящего постановления возложить на заместителя главы  </w:t>
      </w:r>
      <w:r>
        <w:rPr>
          <w:szCs w:val="28"/>
        </w:rPr>
        <w:t>администрации</w:t>
      </w:r>
      <w:r w:rsidRPr="00877CBB">
        <w:rPr>
          <w:szCs w:val="28"/>
        </w:rPr>
        <w:t xml:space="preserve"> Муртазалиева Абдулмуталима Магомедовича.</w:t>
      </w:r>
    </w:p>
    <w:p w:rsidR="00877CBB" w:rsidRPr="00877CBB" w:rsidRDefault="00877CBB" w:rsidP="00877CBB">
      <w:pPr>
        <w:ind w:firstLine="540"/>
        <w:jc w:val="both"/>
        <w:rPr>
          <w:szCs w:val="28"/>
        </w:rPr>
      </w:pPr>
      <w:r w:rsidRPr="00877CBB">
        <w:rPr>
          <w:szCs w:val="28"/>
        </w:rPr>
        <w:t> </w:t>
      </w:r>
    </w:p>
    <w:p w:rsidR="00877CBB" w:rsidRPr="00877CBB" w:rsidRDefault="00877CBB" w:rsidP="00877CBB">
      <w:pPr>
        <w:ind w:firstLine="540"/>
        <w:jc w:val="both"/>
        <w:rPr>
          <w:b/>
          <w:szCs w:val="28"/>
        </w:rPr>
      </w:pPr>
    </w:p>
    <w:p w:rsidR="00877CBB" w:rsidRPr="00877CBB" w:rsidRDefault="00877CBB" w:rsidP="00877CBB">
      <w:pPr>
        <w:suppressAutoHyphens w:val="0"/>
        <w:spacing w:line="259" w:lineRule="auto"/>
        <w:rPr>
          <w:rFonts w:eastAsia="Calibri"/>
          <w:b/>
          <w:szCs w:val="28"/>
          <w:lang w:eastAsia="en-US"/>
        </w:rPr>
      </w:pPr>
      <w:r w:rsidRPr="00877CBB">
        <w:rPr>
          <w:rFonts w:eastAsia="Calibri"/>
          <w:b/>
          <w:szCs w:val="28"/>
          <w:lang w:eastAsia="en-US"/>
        </w:rPr>
        <w:t xml:space="preserve">Глава МО </w:t>
      </w:r>
    </w:p>
    <w:p w:rsidR="00877CBB" w:rsidRPr="00877CBB" w:rsidRDefault="00877CBB" w:rsidP="00877CBB">
      <w:pPr>
        <w:suppressAutoHyphens w:val="0"/>
        <w:spacing w:line="259" w:lineRule="auto"/>
        <w:rPr>
          <w:szCs w:val="28"/>
        </w:rPr>
      </w:pPr>
      <w:r w:rsidRPr="00877CBB">
        <w:rPr>
          <w:rFonts w:eastAsia="Calibri"/>
          <w:b/>
          <w:szCs w:val="28"/>
          <w:lang w:eastAsia="en-US"/>
        </w:rPr>
        <w:t>«Унцукульский район»                                          И.М.Нурмагомедов</w:t>
      </w:r>
      <w:r w:rsidRPr="00877CBB">
        <w:rPr>
          <w:szCs w:val="28"/>
        </w:rPr>
        <w:br w:type="page"/>
      </w:r>
    </w:p>
    <w:p w:rsidR="00877CBB" w:rsidRPr="00877CBB" w:rsidRDefault="00877CBB" w:rsidP="00877CBB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</w:t>
      </w:r>
      <w:r w:rsidRPr="00877CBB">
        <w:rPr>
          <w:sz w:val="22"/>
          <w:szCs w:val="22"/>
        </w:rPr>
        <w:t>Приложение 1</w:t>
      </w:r>
    </w:p>
    <w:p w:rsidR="00877CBB" w:rsidRPr="00877CBB" w:rsidRDefault="00877CBB" w:rsidP="00877C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877CBB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главы МО</w:t>
      </w:r>
    </w:p>
    <w:p w:rsidR="00877CBB" w:rsidRPr="00877CBB" w:rsidRDefault="00877CBB" w:rsidP="00877CBB">
      <w:pPr>
        <w:tabs>
          <w:tab w:val="left" w:pos="6468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77CBB">
        <w:rPr>
          <w:sz w:val="22"/>
          <w:szCs w:val="22"/>
        </w:rPr>
        <w:tab/>
        <w:t xml:space="preserve">         «Унцукульский район»</w:t>
      </w:r>
    </w:p>
    <w:p w:rsidR="00877CBB" w:rsidRPr="00877CBB" w:rsidRDefault="00877CBB" w:rsidP="00877CBB">
      <w:pPr>
        <w:ind w:firstLine="540"/>
        <w:jc w:val="center"/>
        <w:rPr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</w:t>
      </w:r>
      <w:r w:rsidRPr="00877CBB">
        <w:rPr>
          <w:color w:val="000000"/>
          <w:sz w:val="22"/>
          <w:szCs w:val="22"/>
          <w:lang w:eastAsia="ru-RU"/>
        </w:rPr>
        <w:t>Республики Дагестан</w:t>
      </w:r>
    </w:p>
    <w:p w:rsidR="00877CBB" w:rsidRPr="00877CBB" w:rsidRDefault="00877CBB" w:rsidP="00877CBB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877CBB">
        <w:rPr>
          <w:sz w:val="22"/>
          <w:szCs w:val="22"/>
        </w:rPr>
        <w:t>от    ________  года №________</w:t>
      </w:r>
    </w:p>
    <w:p w:rsidR="00877CBB" w:rsidRPr="00877CBB" w:rsidRDefault="00877CBB" w:rsidP="00877CBB">
      <w:pPr>
        <w:ind w:firstLine="540"/>
        <w:jc w:val="both"/>
        <w:rPr>
          <w:szCs w:val="28"/>
        </w:rPr>
      </w:pPr>
    </w:p>
    <w:p w:rsidR="00877CBB" w:rsidRPr="00877CBB" w:rsidRDefault="00877CBB" w:rsidP="00877CB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highlight w:val="yellow"/>
          <w:lang w:eastAsia="ru-RU"/>
        </w:rPr>
      </w:pPr>
      <w:r w:rsidRPr="00877CBB">
        <w:rPr>
          <w:b/>
          <w:bCs/>
          <w:szCs w:val="28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2021 год</w:t>
      </w:r>
    </w:p>
    <w:p w:rsidR="00877CBB" w:rsidRPr="00877CBB" w:rsidRDefault="00877CBB" w:rsidP="00877C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tbl>
      <w:tblPr>
        <w:tblStyle w:val="22"/>
        <w:tblW w:w="5276" w:type="pct"/>
        <w:tblInd w:w="-147" w:type="dxa"/>
        <w:tblLook w:val="04A0" w:firstRow="1" w:lastRow="0" w:firstColumn="1" w:lastColumn="0" w:noHBand="0" w:noVBand="1"/>
      </w:tblPr>
      <w:tblGrid>
        <w:gridCol w:w="5512"/>
        <w:gridCol w:w="1874"/>
        <w:gridCol w:w="1801"/>
        <w:gridCol w:w="1808"/>
      </w:tblGrid>
      <w:tr w:rsidR="00877CBB" w:rsidRPr="00877CBB" w:rsidTr="00D35E6D">
        <w:trPr>
          <w:trHeight w:val="1090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Наименование параметра</w:t>
            </w:r>
          </w:p>
        </w:tc>
        <w:tc>
          <w:tcPr>
            <w:tcW w:w="85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Буквенное обозначение параметра</w:t>
            </w:r>
          </w:p>
        </w:tc>
        <w:tc>
          <w:tcPr>
            <w:tcW w:w="819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Размерность параметра</w:t>
            </w: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Значение параметра</w:t>
            </w:r>
          </w:p>
        </w:tc>
      </w:tr>
      <w:tr w:rsidR="00877CBB" w:rsidRPr="00877CBB" w:rsidTr="00D35E6D">
        <w:trPr>
          <w:trHeight w:val="553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Среднее число учащихся на педагога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77CBB">
              <w:rPr>
                <w:rFonts w:eastAsia="Calibri"/>
                <w:szCs w:val="28"/>
                <w:lang w:eastAsia="en-US"/>
              </w:rPr>
              <w:t>по направленностям</w:t>
            </w:r>
          </w:p>
        </w:tc>
        <w:tc>
          <w:tcPr>
            <w:tcW w:w="852" w:type="pct"/>
            <w:vMerge w:val="restar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val="en-US" w:eastAsia="en-US"/>
              </w:rPr>
              <w:t xml:space="preserve">Q </w:t>
            </w:r>
            <w:r w:rsidRPr="00877CBB">
              <w:rPr>
                <w:rFonts w:eastAsia="Calibri"/>
                <w:szCs w:val="28"/>
                <w:vertAlign w:val="subscript"/>
                <w:lang w:eastAsia="en-US"/>
              </w:rPr>
              <w:t>сред</w:t>
            </w:r>
          </w:p>
        </w:tc>
        <w:tc>
          <w:tcPr>
            <w:tcW w:w="819" w:type="pct"/>
            <w:vMerge w:val="restar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Ед.</w:t>
            </w: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877CBB" w:rsidRPr="00877CBB" w:rsidTr="00D35E6D">
        <w:trPr>
          <w:trHeight w:val="644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bookmarkStart w:id="3" w:name="_Hlk22038637"/>
            <w:r w:rsidRPr="00877CBB">
              <w:rPr>
                <w:rFonts w:eastAsia="Calibri"/>
                <w:szCs w:val="28"/>
                <w:lang w:eastAsia="en-US"/>
              </w:rPr>
              <w:t>Техническая</w:t>
            </w:r>
          </w:p>
        </w:tc>
        <w:tc>
          <w:tcPr>
            <w:tcW w:w="852" w:type="pct"/>
            <w:vMerge/>
          </w:tcPr>
          <w:p w:rsidR="00877CBB" w:rsidRPr="00877CBB" w:rsidRDefault="00877CBB" w:rsidP="00877CBB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</w:p>
        </w:tc>
        <w:tc>
          <w:tcPr>
            <w:tcW w:w="819" w:type="pct"/>
            <w:vMerge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58</w:t>
            </w:r>
          </w:p>
        </w:tc>
      </w:tr>
      <w:tr w:rsidR="00877CBB" w:rsidRPr="00877CBB" w:rsidTr="00D35E6D">
        <w:trPr>
          <w:trHeight w:val="644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877CBB" w:rsidRPr="00877CBB" w:rsidRDefault="00877CBB" w:rsidP="00877CBB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</w:p>
        </w:tc>
        <w:tc>
          <w:tcPr>
            <w:tcW w:w="819" w:type="pct"/>
            <w:vMerge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58</w:t>
            </w:r>
          </w:p>
        </w:tc>
      </w:tr>
      <w:tr w:rsidR="00877CBB" w:rsidRPr="00877CBB" w:rsidTr="00D35E6D">
        <w:trPr>
          <w:trHeight w:val="644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877CBB" w:rsidRPr="00877CBB" w:rsidRDefault="00877CBB" w:rsidP="00877CBB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</w:p>
        </w:tc>
        <w:tc>
          <w:tcPr>
            <w:tcW w:w="819" w:type="pct"/>
            <w:vMerge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58</w:t>
            </w:r>
          </w:p>
        </w:tc>
      </w:tr>
      <w:tr w:rsidR="00877CBB" w:rsidRPr="00877CBB" w:rsidTr="00D35E6D">
        <w:trPr>
          <w:trHeight w:val="644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877CBB" w:rsidRPr="00877CBB" w:rsidRDefault="00877CBB" w:rsidP="00877CBB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</w:p>
        </w:tc>
        <w:tc>
          <w:tcPr>
            <w:tcW w:w="819" w:type="pct"/>
            <w:vMerge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58</w:t>
            </w:r>
          </w:p>
        </w:tc>
      </w:tr>
      <w:tr w:rsidR="00877CBB" w:rsidRPr="00877CBB" w:rsidTr="00D35E6D">
        <w:trPr>
          <w:trHeight w:val="644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877CBB" w:rsidRPr="00877CBB" w:rsidRDefault="00877CBB" w:rsidP="00877CBB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</w:p>
        </w:tc>
        <w:tc>
          <w:tcPr>
            <w:tcW w:w="819" w:type="pct"/>
            <w:vMerge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58</w:t>
            </w:r>
          </w:p>
        </w:tc>
      </w:tr>
      <w:tr w:rsidR="00877CBB" w:rsidRPr="00877CBB" w:rsidTr="00D35E6D">
        <w:trPr>
          <w:trHeight w:val="644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Социально-гуманитарная</w:t>
            </w:r>
          </w:p>
        </w:tc>
        <w:tc>
          <w:tcPr>
            <w:tcW w:w="852" w:type="pct"/>
            <w:vMerge/>
          </w:tcPr>
          <w:p w:rsidR="00877CBB" w:rsidRPr="00877CBB" w:rsidRDefault="00877CBB" w:rsidP="00877CBB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</w:p>
        </w:tc>
        <w:tc>
          <w:tcPr>
            <w:tcW w:w="819" w:type="pct"/>
            <w:vMerge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58</w:t>
            </w:r>
          </w:p>
        </w:tc>
      </w:tr>
      <w:bookmarkEnd w:id="3"/>
      <w:tr w:rsidR="00877CBB" w:rsidRPr="00877CBB" w:rsidTr="00D35E6D">
        <w:trPr>
          <w:trHeight w:val="741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Средняя норма часов в год на одного ребенка по направленностям</w:t>
            </w:r>
          </w:p>
        </w:tc>
        <w:tc>
          <w:tcPr>
            <w:tcW w:w="852" w:type="pct"/>
            <w:vMerge w:val="restar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val="en-US" w:eastAsia="en-US"/>
              </w:rPr>
              <w:t>V</w:t>
            </w:r>
            <w:r w:rsidRPr="00877CBB">
              <w:rPr>
                <w:rFonts w:eastAsia="Calibri"/>
                <w:szCs w:val="28"/>
                <w:vertAlign w:val="subscript"/>
                <w:lang w:eastAsia="en-US"/>
              </w:rPr>
              <w:t>час</w:t>
            </w:r>
          </w:p>
        </w:tc>
        <w:tc>
          <w:tcPr>
            <w:tcW w:w="819" w:type="pct"/>
            <w:vMerge w:val="restar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Ед.</w:t>
            </w: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877CBB" w:rsidRPr="00877CBB" w:rsidTr="00D35E6D">
        <w:trPr>
          <w:trHeight w:val="644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Техническая</w:t>
            </w:r>
          </w:p>
        </w:tc>
        <w:tc>
          <w:tcPr>
            <w:tcW w:w="852" w:type="pct"/>
            <w:vMerge/>
          </w:tcPr>
          <w:p w:rsidR="00877CBB" w:rsidRPr="00877CBB" w:rsidRDefault="00877CBB" w:rsidP="00877CBB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</w:p>
        </w:tc>
        <w:tc>
          <w:tcPr>
            <w:tcW w:w="819" w:type="pct"/>
            <w:vMerge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216</w:t>
            </w:r>
          </w:p>
        </w:tc>
      </w:tr>
      <w:tr w:rsidR="00877CBB" w:rsidRPr="00877CBB" w:rsidTr="00D35E6D">
        <w:trPr>
          <w:trHeight w:val="644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877CBB" w:rsidRPr="00877CBB" w:rsidRDefault="00877CBB" w:rsidP="00877CBB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</w:p>
        </w:tc>
        <w:tc>
          <w:tcPr>
            <w:tcW w:w="819" w:type="pct"/>
            <w:vMerge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216</w:t>
            </w:r>
          </w:p>
        </w:tc>
      </w:tr>
      <w:tr w:rsidR="00877CBB" w:rsidRPr="00877CBB" w:rsidTr="00D35E6D">
        <w:trPr>
          <w:trHeight w:val="644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877CBB" w:rsidRPr="00877CBB" w:rsidRDefault="00877CBB" w:rsidP="00877CBB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</w:p>
        </w:tc>
        <w:tc>
          <w:tcPr>
            <w:tcW w:w="819" w:type="pct"/>
            <w:vMerge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216</w:t>
            </w:r>
          </w:p>
        </w:tc>
      </w:tr>
      <w:tr w:rsidR="00877CBB" w:rsidRPr="00877CBB" w:rsidTr="00D35E6D">
        <w:trPr>
          <w:trHeight w:val="644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877CBB" w:rsidRPr="00877CBB" w:rsidRDefault="00877CBB" w:rsidP="00877CBB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</w:p>
        </w:tc>
        <w:tc>
          <w:tcPr>
            <w:tcW w:w="819" w:type="pct"/>
            <w:vMerge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216</w:t>
            </w:r>
          </w:p>
        </w:tc>
      </w:tr>
      <w:tr w:rsidR="00877CBB" w:rsidRPr="00877CBB" w:rsidTr="00D35E6D">
        <w:trPr>
          <w:trHeight w:val="644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877CBB" w:rsidRPr="00877CBB" w:rsidRDefault="00877CBB" w:rsidP="00877CBB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</w:p>
        </w:tc>
        <w:tc>
          <w:tcPr>
            <w:tcW w:w="819" w:type="pct"/>
            <w:vMerge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216</w:t>
            </w:r>
          </w:p>
        </w:tc>
      </w:tr>
      <w:tr w:rsidR="00877CBB" w:rsidRPr="00877CBB" w:rsidTr="00D35E6D">
        <w:trPr>
          <w:trHeight w:val="644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Социально-гуманитарная</w:t>
            </w:r>
          </w:p>
        </w:tc>
        <w:tc>
          <w:tcPr>
            <w:tcW w:w="852" w:type="pct"/>
            <w:vMerge/>
          </w:tcPr>
          <w:p w:rsidR="00877CBB" w:rsidRPr="00877CBB" w:rsidRDefault="00877CBB" w:rsidP="00877CBB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</w:p>
        </w:tc>
        <w:tc>
          <w:tcPr>
            <w:tcW w:w="819" w:type="pct"/>
            <w:vMerge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216</w:t>
            </w:r>
          </w:p>
        </w:tc>
      </w:tr>
      <w:tr w:rsidR="00877CBB" w:rsidRPr="00877CBB" w:rsidTr="00D35E6D">
        <w:trPr>
          <w:trHeight w:val="617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Коэффициент доли работников АУП</w:t>
            </w:r>
          </w:p>
        </w:tc>
        <w:tc>
          <w:tcPr>
            <w:tcW w:w="85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val="en-US" w:eastAsia="en-US"/>
              </w:rPr>
              <w:t>K</w:t>
            </w:r>
            <w:r w:rsidRPr="00877CBB">
              <w:rPr>
                <w:rFonts w:eastAsia="Calibri"/>
                <w:szCs w:val="28"/>
                <w:vertAlign w:val="subscript"/>
                <w:lang w:eastAsia="en-US"/>
              </w:rPr>
              <w:t>ауп</w:t>
            </w:r>
          </w:p>
        </w:tc>
        <w:tc>
          <w:tcPr>
            <w:tcW w:w="819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Ед.</w:t>
            </w: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0,40</w:t>
            </w:r>
          </w:p>
        </w:tc>
      </w:tr>
      <w:tr w:rsidR="00877CBB" w:rsidRPr="00877CBB" w:rsidTr="00D35E6D">
        <w:trPr>
          <w:trHeight w:val="741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lastRenderedPageBreak/>
              <w:t>Продолжительность программы повышения квалификации</w:t>
            </w:r>
          </w:p>
        </w:tc>
        <w:tc>
          <w:tcPr>
            <w:tcW w:w="85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spacing w:val="-1"/>
                <w:szCs w:val="28"/>
                <w:lang w:val="en-US" w:eastAsia="en-US"/>
              </w:rPr>
              <w:t>L</w:t>
            </w:r>
            <w:r w:rsidRPr="00877CBB">
              <w:rPr>
                <w:spacing w:val="-1"/>
                <w:szCs w:val="28"/>
                <w:vertAlign w:val="subscript"/>
                <w:lang w:eastAsia="en-US"/>
              </w:rPr>
              <w:t>баз</w:t>
            </w:r>
          </w:p>
        </w:tc>
        <w:tc>
          <w:tcPr>
            <w:tcW w:w="819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дней</w:t>
            </w: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14</w:t>
            </w:r>
          </w:p>
        </w:tc>
      </w:tr>
      <w:tr w:rsidR="00877CBB" w:rsidRPr="00877CBB" w:rsidTr="00D35E6D">
        <w:trPr>
          <w:trHeight w:val="741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Сумма затрат на повышение квалификации, в день</w:t>
            </w:r>
          </w:p>
        </w:tc>
        <w:tc>
          <w:tcPr>
            <w:tcW w:w="85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ascii="Calibri" w:eastAsia="Calibri" w:hAnsi="Calibri"/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6A27952" wp14:editId="2214FAE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1" name="Рисунок 1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arto="http://schemas.microsoft.com/office/word/2006/arto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arto="http://schemas.microsoft.com/office/word/2006/arto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Рубль</w:t>
            </w: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500,00</w:t>
            </w:r>
          </w:p>
        </w:tc>
      </w:tr>
      <w:tr w:rsidR="00877CBB" w:rsidRPr="00877CBB" w:rsidTr="00D35E6D">
        <w:trPr>
          <w:trHeight w:val="645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Стоимость медосмотра</w:t>
            </w:r>
          </w:p>
        </w:tc>
        <w:tc>
          <w:tcPr>
            <w:tcW w:w="85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ascii="Calibri" w:eastAsia="Calibri" w:hAnsi="Calibri"/>
                <w:noProof/>
                <w:sz w:val="22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9E97D81" wp14:editId="2D8089B1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2" name="Рисунок 1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arto="http://schemas.microsoft.com/office/word/2006/arto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arto="http://schemas.microsoft.com/office/word/2006/arto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Рубль</w:t>
            </w: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1150,00</w:t>
            </w:r>
          </w:p>
        </w:tc>
      </w:tr>
      <w:tr w:rsidR="00877CBB" w:rsidRPr="00877CBB" w:rsidTr="00D35E6D">
        <w:trPr>
          <w:trHeight w:val="859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Затраты на содержание имущества на час реализации программы</w:t>
            </w:r>
          </w:p>
        </w:tc>
        <w:tc>
          <w:tcPr>
            <w:tcW w:w="852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ascii="Calibri" w:eastAsia="Calibri" w:hAnsi="Calibri"/>
                <w:noProof/>
                <w:sz w:val="22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72F1E3F" wp14:editId="25A833A6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3" name="Рисунок 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arto="http://schemas.microsoft.com/office/word/2006/arto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arto="http://schemas.microsoft.com/office/word/2006/arto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Рубль</w:t>
            </w: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2,60</w:t>
            </w:r>
          </w:p>
        </w:tc>
      </w:tr>
      <w:tr w:rsidR="00877CBB" w:rsidRPr="00877CBB" w:rsidTr="00D35E6D">
        <w:trPr>
          <w:trHeight w:val="644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Стоимость комплекта средств обучения по направленностям</w:t>
            </w:r>
          </w:p>
        </w:tc>
        <w:tc>
          <w:tcPr>
            <w:tcW w:w="852" w:type="pct"/>
            <w:vMerge w:val="restar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spacing w:val="-1"/>
                <w:szCs w:val="28"/>
                <w:lang w:eastAsia="en-US"/>
              </w:rPr>
              <w:t>С</w:t>
            </w:r>
            <w:r w:rsidRPr="00877CBB">
              <w:rPr>
                <w:spacing w:val="-1"/>
                <w:szCs w:val="28"/>
                <w:vertAlign w:val="subscript"/>
                <w:lang w:eastAsia="en-US"/>
              </w:rPr>
              <w:t>баз</w:t>
            </w:r>
          </w:p>
        </w:tc>
        <w:tc>
          <w:tcPr>
            <w:tcW w:w="819" w:type="pct"/>
            <w:vMerge w:val="restar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Рубль</w:t>
            </w: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877CBB" w:rsidRPr="00877CBB" w:rsidTr="00D35E6D">
        <w:trPr>
          <w:trHeight w:val="644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bookmarkStart w:id="4" w:name="_Hlk22038579"/>
            <w:r w:rsidRPr="00877CBB">
              <w:rPr>
                <w:rFonts w:eastAsia="Calibri"/>
                <w:szCs w:val="28"/>
                <w:lang w:eastAsia="en-US"/>
              </w:rPr>
              <w:t>Техническая</w:t>
            </w:r>
          </w:p>
        </w:tc>
        <w:tc>
          <w:tcPr>
            <w:tcW w:w="852" w:type="pct"/>
            <w:vMerge/>
          </w:tcPr>
          <w:p w:rsidR="00877CBB" w:rsidRPr="00877CBB" w:rsidRDefault="00877CBB" w:rsidP="00877CBB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</w:p>
        </w:tc>
        <w:tc>
          <w:tcPr>
            <w:tcW w:w="819" w:type="pct"/>
            <w:vMerge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50000,00</w:t>
            </w:r>
          </w:p>
        </w:tc>
      </w:tr>
      <w:tr w:rsidR="00877CBB" w:rsidRPr="00877CBB" w:rsidTr="00D35E6D">
        <w:trPr>
          <w:trHeight w:val="644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877CBB" w:rsidRPr="00877CBB" w:rsidRDefault="00877CBB" w:rsidP="00877CBB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</w:p>
        </w:tc>
        <w:tc>
          <w:tcPr>
            <w:tcW w:w="819" w:type="pct"/>
            <w:vMerge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50000,00</w:t>
            </w:r>
          </w:p>
        </w:tc>
      </w:tr>
      <w:tr w:rsidR="00877CBB" w:rsidRPr="00877CBB" w:rsidTr="00D35E6D">
        <w:trPr>
          <w:trHeight w:val="644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877CBB" w:rsidRPr="00877CBB" w:rsidRDefault="00877CBB" w:rsidP="00877CBB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</w:p>
        </w:tc>
        <w:tc>
          <w:tcPr>
            <w:tcW w:w="819" w:type="pct"/>
            <w:vMerge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50000,00</w:t>
            </w:r>
          </w:p>
        </w:tc>
      </w:tr>
      <w:tr w:rsidR="00877CBB" w:rsidRPr="00877CBB" w:rsidTr="00D35E6D">
        <w:trPr>
          <w:trHeight w:val="644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877CBB" w:rsidRPr="00877CBB" w:rsidRDefault="00877CBB" w:rsidP="00877CBB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</w:p>
        </w:tc>
        <w:tc>
          <w:tcPr>
            <w:tcW w:w="819" w:type="pct"/>
            <w:vMerge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50000,00</w:t>
            </w:r>
          </w:p>
        </w:tc>
      </w:tr>
      <w:tr w:rsidR="00877CBB" w:rsidRPr="00877CBB" w:rsidTr="00D35E6D">
        <w:trPr>
          <w:trHeight w:val="644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877CBB" w:rsidRPr="00877CBB" w:rsidRDefault="00877CBB" w:rsidP="00877CBB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</w:p>
        </w:tc>
        <w:tc>
          <w:tcPr>
            <w:tcW w:w="819" w:type="pct"/>
            <w:vMerge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50000,00</w:t>
            </w:r>
          </w:p>
        </w:tc>
      </w:tr>
      <w:tr w:rsidR="00877CBB" w:rsidRPr="00877CBB" w:rsidTr="00D35E6D">
        <w:trPr>
          <w:trHeight w:val="644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Социально-гуманитарная</w:t>
            </w:r>
          </w:p>
        </w:tc>
        <w:tc>
          <w:tcPr>
            <w:tcW w:w="852" w:type="pct"/>
            <w:vMerge/>
          </w:tcPr>
          <w:p w:rsidR="00877CBB" w:rsidRPr="00877CBB" w:rsidRDefault="00877CBB" w:rsidP="00877CBB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</w:p>
        </w:tc>
        <w:tc>
          <w:tcPr>
            <w:tcW w:w="819" w:type="pct"/>
            <w:vMerge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50000,00</w:t>
            </w:r>
          </w:p>
        </w:tc>
      </w:tr>
      <w:bookmarkEnd w:id="4"/>
      <w:tr w:rsidR="00877CBB" w:rsidRPr="00877CBB" w:rsidTr="00D35E6D">
        <w:trPr>
          <w:trHeight w:val="741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pacing w:val="-1"/>
                <w:szCs w:val="28"/>
                <w:lang w:eastAsia="en-US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52" w:type="pct"/>
          </w:tcPr>
          <w:p w:rsidR="00877CBB" w:rsidRPr="00877CBB" w:rsidRDefault="005F073E" w:rsidP="00877CBB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noProof/>
                <w:sz w:val="22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баз</m:t>
                    </m:r>
                  </m:sub>
                  <m:sup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877CBB" w:rsidRPr="00877CBB" w:rsidRDefault="00877CBB" w:rsidP="00877CBB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лет</w:t>
            </w: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7</w:t>
            </w:r>
          </w:p>
        </w:tc>
      </w:tr>
      <w:tr w:rsidR="00877CBB" w:rsidRPr="00877CBB" w:rsidTr="00D35E6D">
        <w:trPr>
          <w:trHeight w:val="741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Норматив использования средств обучения в часах в год</w:t>
            </w:r>
          </w:p>
        </w:tc>
        <w:tc>
          <w:tcPr>
            <w:tcW w:w="85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noProof/>
                <w:szCs w:val="28"/>
                <w:lang w:eastAsia="en-US"/>
              </w:rPr>
            </w:pPr>
            <w:r w:rsidRPr="00877CBB">
              <w:rPr>
                <w:rFonts w:eastAsia="Calibri"/>
                <w:noProof/>
                <w:szCs w:val="28"/>
                <w:lang w:val="en-US" w:eastAsia="en-US"/>
              </w:rPr>
              <w:t>N</w:t>
            </w:r>
            <w:r w:rsidRPr="00877CBB">
              <w:rPr>
                <w:rFonts w:eastAsia="Calibri"/>
                <w:noProof/>
                <w:szCs w:val="28"/>
                <w:vertAlign w:val="subscript"/>
                <w:lang w:eastAsia="en-US"/>
              </w:rPr>
              <w:t>год</w:t>
            </w:r>
          </w:p>
        </w:tc>
        <w:tc>
          <w:tcPr>
            <w:tcW w:w="819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Ед.</w:t>
            </w: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1476</w:t>
            </w:r>
          </w:p>
        </w:tc>
      </w:tr>
      <w:tr w:rsidR="00877CBB" w:rsidRPr="00877CBB" w:rsidTr="00D35E6D">
        <w:trPr>
          <w:trHeight w:val="741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Стоимость учебного пособия</w:t>
            </w:r>
          </w:p>
        </w:tc>
        <w:tc>
          <w:tcPr>
            <w:tcW w:w="852" w:type="pct"/>
          </w:tcPr>
          <w:p w:rsidR="00877CBB" w:rsidRPr="00877CBB" w:rsidRDefault="00877CBB" w:rsidP="00877CBB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  <w:r w:rsidRPr="00877CBB">
              <w:rPr>
                <w:rFonts w:ascii="Calibri" w:eastAsia="Calibri" w:hAnsi="Calibri"/>
                <w:noProof/>
                <w:sz w:val="22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0D23C33" wp14:editId="5C5C42A6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4" name="Рисунок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arto="http://schemas.microsoft.com/office/word/2006/arto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arto="http://schemas.microsoft.com/office/word/2006/arto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Рубль</w:t>
            </w: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0,00</w:t>
            </w:r>
          </w:p>
        </w:tc>
      </w:tr>
      <w:tr w:rsidR="00877CBB" w:rsidRPr="00877CBB" w:rsidTr="00D35E6D">
        <w:trPr>
          <w:trHeight w:val="741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Количество методических пособий на 1 обучающегося</w:t>
            </w:r>
          </w:p>
        </w:tc>
        <w:tc>
          <w:tcPr>
            <w:tcW w:w="852" w:type="pct"/>
          </w:tcPr>
          <w:p w:rsidR="00877CBB" w:rsidRPr="00877CBB" w:rsidRDefault="005F073E" w:rsidP="00877CBB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Cs w:val="28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szCs w:val="28"/>
                        <w:lang w:val="en-US" w:eastAsia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баз</m:t>
                    </m:r>
                  </m:sub>
                  <m:sup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877CBB" w:rsidRPr="00877CBB" w:rsidRDefault="00877CBB" w:rsidP="00877CBB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шт.</w:t>
            </w: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0,5</w:t>
            </w:r>
          </w:p>
        </w:tc>
      </w:tr>
      <w:tr w:rsidR="00877CBB" w:rsidRPr="00877CBB" w:rsidTr="00D35E6D">
        <w:trPr>
          <w:trHeight w:val="741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pacing w:val="-1"/>
                <w:szCs w:val="28"/>
                <w:lang w:eastAsia="en-US"/>
              </w:rPr>
              <w:t xml:space="preserve">Срок полезного использования </w:t>
            </w:r>
            <w:r w:rsidRPr="00877CBB">
              <w:rPr>
                <w:rFonts w:eastAsia="Calibri"/>
                <w:szCs w:val="28"/>
                <w:lang w:eastAsia="en-US"/>
              </w:rPr>
              <w:t>методических пособий</w:t>
            </w:r>
            <w:r w:rsidRPr="00877CBB">
              <w:rPr>
                <w:rFonts w:eastAsia="Calibri"/>
                <w:spacing w:val="-1"/>
                <w:szCs w:val="28"/>
                <w:lang w:eastAsia="en-US"/>
              </w:rPr>
              <w:t xml:space="preserve"> в годах</w:t>
            </w:r>
          </w:p>
        </w:tc>
        <w:tc>
          <w:tcPr>
            <w:tcW w:w="852" w:type="pct"/>
          </w:tcPr>
          <w:p w:rsidR="00877CBB" w:rsidRPr="00877CBB" w:rsidRDefault="005F073E" w:rsidP="00877CBB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баз</m:t>
                    </m:r>
                  </m:sub>
                  <m:sup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877CBB" w:rsidRPr="00877CBB" w:rsidRDefault="00877CBB" w:rsidP="00877CBB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лет</w:t>
            </w: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877CBB" w:rsidRPr="00877CBB" w:rsidTr="00D35E6D">
        <w:trPr>
          <w:trHeight w:val="741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Средняя зарплата по региону</w:t>
            </w:r>
          </w:p>
        </w:tc>
        <w:tc>
          <w:tcPr>
            <w:tcW w:w="852" w:type="pct"/>
          </w:tcPr>
          <w:p w:rsidR="00877CBB" w:rsidRPr="00877CBB" w:rsidRDefault="00877CBB" w:rsidP="00877CBB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</w:p>
        </w:tc>
        <w:tc>
          <w:tcPr>
            <w:tcW w:w="819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Рубль</w:t>
            </w: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26 373,60</w:t>
            </w:r>
          </w:p>
        </w:tc>
      </w:tr>
      <w:tr w:rsidR="00877CBB" w:rsidRPr="00877CBB" w:rsidTr="00D35E6D">
        <w:trPr>
          <w:trHeight w:val="741"/>
        </w:trPr>
        <w:tc>
          <w:tcPr>
            <w:tcW w:w="2507" w:type="pct"/>
          </w:tcPr>
          <w:p w:rsidR="00877CBB" w:rsidRPr="00877CBB" w:rsidRDefault="00877CBB" w:rsidP="00877CBB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Ставка страховых взносов</w:t>
            </w:r>
          </w:p>
        </w:tc>
        <w:tc>
          <w:tcPr>
            <w:tcW w:w="852" w:type="pct"/>
          </w:tcPr>
          <w:p w:rsidR="00877CBB" w:rsidRPr="00877CBB" w:rsidRDefault="00877CBB" w:rsidP="00877CBB">
            <w:pPr>
              <w:suppressAutoHyphens w:val="0"/>
              <w:jc w:val="both"/>
              <w:rPr>
                <w:rFonts w:ascii="Calibri" w:eastAsia="Calibri" w:hAnsi="Calibri"/>
                <w:noProof/>
                <w:sz w:val="22"/>
                <w:lang w:eastAsia="en-US"/>
              </w:rPr>
            </w:pPr>
          </w:p>
        </w:tc>
        <w:tc>
          <w:tcPr>
            <w:tcW w:w="819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%</w:t>
            </w:r>
          </w:p>
        </w:tc>
        <w:tc>
          <w:tcPr>
            <w:tcW w:w="822" w:type="pct"/>
          </w:tcPr>
          <w:p w:rsidR="00877CBB" w:rsidRPr="00877CBB" w:rsidRDefault="00877CBB" w:rsidP="00877CBB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30,2</w:t>
            </w:r>
          </w:p>
        </w:tc>
      </w:tr>
    </w:tbl>
    <w:p w:rsidR="00877CBB" w:rsidRPr="00877CBB" w:rsidRDefault="00877CBB" w:rsidP="00877CBB">
      <w:pPr>
        <w:ind w:firstLine="540"/>
        <w:jc w:val="both"/>
        <w:rPr>
          <w:szCs w:val="28"/>
        </w:rPr>
      </w:pPr>
    </w:p>
    <w:p w:rsidR="00877CBB" w:rsidRDefault="00877CBB" w:rsidP="00877CBB">
      <w:pPr>
        <w:ind w:firstLine="540"/>
        <w:jc w:val="both"/>
        <w:rPr>
          <w:szCs w:val="28"/>
        </w:rPr>
      </w:pPr>
    </w:p>
    <w:p w:rsidR="00877CBB" w:rsidRDefault="00877CBB" w:rsidP="00877CBB">
      <w:pPr>
        <w:ind w:firstLine="540"/>
        <w:jc w:val="both"/>
        <w:rPr>
          <w:szCs w:val="28"/>
        </w:rPr>
      </w:pPr>
    </w:p>
    <w:p w:rsidR="00877CBB" w:rsidRPr="00877CBB" w:rsidRDefault="00877CBB" w:rsidP="00877CBB">
      <w:pPr>
        <w:ind w:firstLine="540"/>
        <w:jc w:val="both"/>
        <w:rPr>
          <w:szCs w:val="28"/>
        </w:rPr>
      </w:pPr>
    </w:p>
    <w:p w:rsidR="00877CBB" w:rsidRPr="00877CBB" w:rsidRDefault="00877CBB" w:rsidP="00877CBB">
      <w:pPr>
        <w:ind w:firstLine="540"/>
        <w:jc w:val="both"/>
        <w:rPr>
          <w:szCs w:val="28"/>
        </w:rPr>
      </w:pPr>
    </w:p>
    <w:p w:rsidR="00877CBB" w:rsidRPr="00877CBB" w:rsidRDefault="00877CBB" w:rsidP="00877CBB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</w:t>
      </w:r>
      <w:r w:rsidRPr="00877CB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877CBB" w:rsidRPr="00877CBB" w:rsidRDefault="00877CBB" w:rsidP="00877C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877CBB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главы МО</w:t>
      </w:r>
    </w:p>
    <w:p w:rsidR="00877CBB" w:rsidRPr="00877CBB" w:rsidRDefault="00877CBB" w:rsidP="00877CBB">
      <w:pPr>
        <w:tabs>
          <w:tab w:val="left" w:pos="6468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77CBB">
        <w:rPr>
          <w:sz w:val="22"/>
          <w:szCs w:val="22"/>
        </w:rPr>
        <w:tab/>
        <w:t xml:space="preserve">         «Унцукульский район»</w:t>
      </w:r>
    </w:p>
    <w:p w:rsidR="00877CBB" w:rsidRPr="00877CBB" w:rsidRDefault="00877CBB" w:rsidP="00877CBB">
      <w:pPr>
        <w:ind w:firstLine="540"/>
        <w:jc w:val="center"/>
        <w:rPr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</w:t>
      </w:r>
      <w:r w:rsidRPr="00877CBB">
        <w:rPr>
          <w:color w:val="000000"/>
          <w:sz w:val="22"/>
          <w:szCs w:val="22"/>
          <w:lang w:eastAsia="ru-RU"/>
        </w:rPr>
        <w:t>Республики Дагестан</w:t>
      </w:r>
    </w:p>
    <w:p w:rsidR="00877CBB" w:rsidRPr="00877CBB" w:rsidRDefault="00877CBB" w:rsidP="00877CBB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877CBB">
        <w:rPr>
          <w:sz w:val="22"/>
          <w:szCs w:val="22"/>
        </w:rPr>
        <w:t>от    ________  года №________</w:t>
      </w:r>
    </w:p>
    <w:p w:rsidR="00877CBB" w:rsidRDefault="00877CBB" w:rsidP="00877CBB">
      <w:pPr>
        <w:suppressAutoHyphens w:val="0"/>
        <w:spacing w:after="160" w:line="360" w:lineRule="auto"/>
        <w:jc w:val="center"/>
        <w:rPr>
          <w:rFonts w:eastAsia="Calibri"/>
          <w:b/>
          <w:szCs w:val="28"/>
          <w:lang w:eastAsia="en-US"/>
        </w:rPr>
      </w:pPr>
    </w:p>
    <w:p w:rsidR="00877CBB" w:rsidRPr="00877CBB" w:rsidRDefault="00877CBB" w:rsidP="00877CBB">
      <w:pPr>
        <w:suppressAutoHyphens w:val="0"/>
        <w:spacing w:after="160" w:line="360" w:lineRule="auto"/>
        <w:jc w:val="center"/>
        <w:rPr>
          <w:rFonts w:eastAsia="Calibri"/>
          <w:b/>
          <w:szCs w:val="28"/>
          <w:lang w:eastAsia="en-US"/>
        </w:rPr>
      </w:pPr>
      <w:r w:rsidRPr="00877CBB">
        <w:rPr>
          <w:rFonts w:eastAsia="Calibri"/>
          <w:b/>
          <w:szCs w:val="28"/>
          <w:lang w:eastAsia="en-US"/>
        </w:rPr>
        <w:t>Отраслевые коэффициенты, применяемые в рамках системы персонифицированного финансирования дополнительного образования детей на 2021год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877CBB" w:rsidRPr="00877CBB" w:rsidTr="00D35E6D">
        <w:tc>
          <w:tcPr>
            <w:tcW w:w="6345" w:type="dxa"/>
          </w:tcPr>
          <w:p w:rsidR="00877CBB" w:rsidRPr="00877CBB" w:rsidRDefault="00877CBB" w:rsidP="00877CBB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877CBB">
              <w:rPr>
                <w:rFonts w:eastAsia="Calibri"/>
                <w:b/>
                <w:szCs w:val="28"/>
                <w:lang w:eastAsia="en-US"/>
              </w:rPr>
              <w:t>Наименование</w:t>
            </w:r>
          </w:p>
        </w:tc>
        <w:tc>
          <w:tcPr>
            <w:tcW w:w="3226" w:type="dxa"/>
          </w:tcPr>
          <w:p w:rsidR="00877CBB" w:rsidRPr="00877CBB" w:rsidRDefault="00877CBB" w:rsidP="00877CBB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877CBB">
              <w:rPr>
                <w:rFonts w:eastAsia="Calibri"/>
                <w:b/>
                <w:szCs w:val="28"/>
                <w:lang w:eastAsia="en-US"/>
              </w:rPr>
              <w:t>Значение</w:t>
            </w:r>
          </w:p>
        </w:tc>
      </w:tr>
      <w:tr w:rsidR="00877CBB" w:rsidRPr="00877CBB" w:rsidTr="00D35E6D">
        <w:tc>
          <w:tcPr>
            <w:tcW w:w="6345" w:type="dxa"/>
          </w:tcPr>
          <w:p w:rsidR="00877CBB" w:rsidRPr="00877CBB" w:rsidRDefault="00877CBB" w:rsidP="00877CBB">
            <w:pPr>
              <w:suppressAutoHyphens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877CBB" w:rsidRPr="00877CBB" w:rsidRDefault="00877CBB" w:rsidP="00877CBB">
            <w:pPr>
              <w:suppressAutoHyphens w:val="0"/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1,0</w:t>
            </w:r>
          </w:p>
        </w:tc>
      </w:tr>
      <w:tr w:rsidR="00877CBB" w:rsidRPr="00877CBB" w:rsidTr="00D35E6D">
        <w:tc>
          <w:tcPr>
            <w:tcW w:w="6345" w:type="dxa"/>
          </w:tcPr>
          <w:p w:rsidR="00877CBB" w:rsidRPr="00877CBB" w:rsidRDefault="00877CBB" w:rsidP="00877CBB">
            <w:pPr>
              <w:suppressAutoHyphens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877CBB" w:rsidRPr="00877CBB" w:rsidRDefault="00877CBB" w:rsidP="00877CBB">
            <w:pPr>
              <w:suppressAutoHyphens w:val="0"/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1,0</w:t>
            </w:r>
          </w:p>
        </w:tc>
      </w:tr>
      <w:tr w:rsidR="00877CBB" w:rsidRPr="00877CBB" w:rsidTr="00D35E6D">
        <w:tc>
          <w:tcPr>
            <w:tcW w:w="6345" w:type="dxa"/>
          </w:tcPr>
          <w:p w:rsidR="00877CBB" w:rsidRPr="00877CBB" w:rsidRDefault="00877CBB" w:rsidP="00877CBB">
            <w:pPr>
              <w:suppressAutoHyphens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877CBB" w:rsidRPr="00877CBB" w:rsidRDefault="00877CBB" w:rsidP="00877CBB">
            <w:pPr>
              <w:suppressAutoHyphens w:val="0"/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77CBB">
              <w:rPr>
                <w:rFonts w:eastAsia="Calibri"/>
                <w:szCs w:val="28"/>
                <w:lang w:eastAsia="en-US"/>
              </w:rPr>
              <w:t>1,0</w:t>
            </w:r>
          </w:p>
        </w:tc>
      </w:tr>
    </w:tbl>
    <w:p w:rsidR="00877CBB" w:rsidRPr="00877CBB" w:rsidRDefault="00877CBB" w:rsidP="00877CBB">
      <w:p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77CBB" w:rsidRPr="00877CBB" w:rsidRDefault="00877CBB" w:rsidP="00877CBB">
      <w:pPr>
        <w:suppressAutoHyphens w:val="0"/>
        <w:ind w:firstLine="709"/>
        <w:rPr>
          <w:rFonts w:eastAsia="Calibri"/>
          <w:szCs w:val="28"/>
          <w:lang w:eastAsia="en-US"/>
        </w:rPr>
      </w:pPr>
    </w:p>
    <w:p w:rsidR="00330BC6" w:rsidRPr="00330BC6" w:rsidRDefault="00330BC6" w:rsidP="00877CBB">
      <w:pPr>
        <w:jc w:val="center"/>
        <w:rPr>
          <w:color w:val="000000"/>
          <w:spacing w:val="-5"/>
          <w:sz w:val="27"/>
          <w:szCs w:val="27"/>
          <w:lang w:eastAsia="ru-RU"/>
        </w:rPr>
      </w:pPr>
    </w:p>
    <w:sectPr w:rsidR="00330BC6" w:rsidRPr="00330BC6" w:rsidSect="001319B0">
      <w:headerReference w:type="even" r:id="rId13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3E" w:rsidRDefault="005F073E" w:rsidP="00F72713">
      <w:r>
        <w:separator/>
      </w:r>
    </w:p>
  </w:endnote>
  <w:endnote w:type="continuationSeparator" w:id="0">
    <w:p w:rsidR="005F073E" w:rsidRDefault="005F073E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3E" w:rsidRDefault="005F073E" w:rsidP="00F72713">
      <w:r>
        <w:separator/>
      </w:r>
    </w:p>
  </w:footnote>
  <w:footnote w:type="continuationSeparator" w:id="0">
    <w:p w:rsidR="005F073E" w:rsidRDefault="005F073E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5086"/>
    <w:rsid w:val="000B3845"/>
    <w:rsid w:val="000D17CE"/>
    <w:rsid w:val="000D3104"/>
    <w:rsid w:val="000E77A1"/>
    <w:rsid w:val="000E7EED"/>
    <w:rsid w:val="001319B0"/>
    <w:rsid w:val="00136703"/>
    <w:rsid w:val="00142E55"/>
    <w:rsid w:val="00167054"/>
    <w:rsid w:val="00182968"/>
    <w:rsid w:val="001E75FA"/>
    <w:rsid w:val="00204861"/>
    <w:rsid w:val="00220AAD"/>
    <w:rsid w:val="002322EB"/>
    <w:rsid w:val="002779F6"/>
    <w:rsid w:val="002A2A5A"/>
    <w:rsid w:val="002C2486"/>
    <w:rsid w:val="002C5272"/>
    <w:rsid w:val="002E0A17"/>
    <w:rsid w:val="003236A6"/>
    <w:rsid w:val="00330BC6"/>
    <w:rsid w:val="00334E22"/>
    <w:rsid w:val="00347FA9"/>
    <w:rsid w:val="0035401C"/>
    <w:rsid w:val="003C76EA"/>
    <w:rsid w:val="003C7FB2"/>
    <w:rsid w:val="003D671C"/>
    <w:rsid w:val="004001D6"/>
    <w:rsid w:val="00435D5B"/>
    <w:rsid w:val="004761B1"/>
    <w:rsid w:val="004A2332"/>
    <w:rsid w:val="004C2AC9"/>
    <w:rsid w:val="004D7377"/>
    <w:rsid w:val="004E005D"/>
    <w:rsid w:val="004E0784"/>
    <w:rsid w:val="00550352"/>
    <w:rsid w:val="005564F7"/>
    <w:rsid w:val="00572C32"/>
    <w:rsid w:val="00576EE6"/>
    <w:rsid w:val="00580E26"/>
    <w:rsid w:val="005843BF"/>
    <w:rsid w:val="00591AD3"/>
    <w:rsid w:val="005D1906"/>
    <w:rsid w:val="005F073E"/>
    <w:rsid w:val="006119BF"/>
    <w:rsid w:val="00616C43"/>
    <w:rsid w:val="00627AE6"/>
    <w:rsid w:val="00633CB6"/>
    <w:rsid w:val="0064529E"/>
    <w:rsid w:val="006524D8"/>
    <w:rsid w:val="006650A1"/>
    <w:rsid w:val="006755C1"/>
    <w:rsid w:val="006800B5"/>
    <w:rsid w:val="0069115F"/>
    <w:rsid w:val="00691E76"/>
    <w:rsid w:val="00692F16"/>
    <w:rsid w:val="006C6622"/>
    <w:rsid w:val="006E5EEE"/>
    <w:rsid w:val="00702AD0"/>
    <w:rsid w:val="00717BAA"/>
    <w:rsid w:val="00725CED"/>
    <w:rsid w:val="007312D4"/>
    <w:rsid w:val="00751685"/>
    <w:rsid w:val="00764CED"/>
    <w:rsid w:val="00765BB7"/>
    <w:rsid w:val="00765E05"/>
    <w:rsid w:val="00777E59"/>
    <w:rsid w:val="007873C3"/>
    <w:rsid w:val="00797E21"/>
    <w:rsid w:val="007A1154"/>
    <w:rsid w:val="007A3D84"/>
    <w:rsid w:val="007B35CE"/>
    <w:rsid w:val="007E29E8"/>
    <w:rsid w:val="007E34A0"/>
    <w:rsid w:val="007F29F9"/>
    <w:rsid w:val="007F7747"/>
    <w:rsid w:val="00800B38"/>
    <w:rsid w:val="008068D3"/>
    <w:rsid w:val="00810279"/>
    <w:rsid w:val="008133D8"/>
    <w:rsid w:val="00860453"/>
    <w:rsid w:val="00877CBB"/>
    <w:rsid w:val="00882684"/>
    <w:rsid w:val="00892C9C"/>
    <w:rsid w:val="0089673D"/>
    <w:rsid w:val="008C2302"/>
    <w:rsid w:val="008C2F33"/>
    <w:rsid w:val="008D0048"/>
    <w:rsid w:val="008D1C48"/>
    <w:rsid w:val="009003DB"/>
    <w:rsid w:val="00906F9F"/>
    <w:rsid w:val="0092473F"/>
    <w:rsid w:val="00926179"/>
    <w:rsid w:val="009729F7"/>
    <w:rsid w:val="0097604B"/>
    <w:rsid w:val="009B2518"/>
    <w:rsid w:val="009C095E"/>
    <w:rsid w:val="009E1360"/>
    <w:rsid w:val="00A20694"/>
    <w:rsid w:val="00A440E0"/>
    <w:rsid w:val="00A6246B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A2730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B41CC"/>
    <w:rsid w:val="00CC47A5"/>
    <w:rsid w:val="00CC6F7A"/>
    <w:rsid w:val="00CC764F"/>
    <w:rsid w:val="00D218C6"/>
    <w:rsid w:val="00D37B48"/>
    <w:rsid w:val="00DB5E1A"/>
    <w:rsid w:val="00E030BC"/>
    <w:rsid w:val="00E24588"/>
    <w:rsid w:val="00E403BB"/>
    <w:rsid w:val="00E75007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4</cp:revision>
  <cp:lastPrinted>2019-03-27T09:45:00Z</cp:lastPrinted>
  <dcterms:created xsi:type="dcterms:W3CDTF">2021-01-20T10:17:00Z</dcterms:created>
  <dcterms:modified xsi:type="dcterms:W3CDTF">2021-03-10T10:31:00Z</dcterms:modified>
</cp:coreProperties>
</file>